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62"/>
          <w:szCs w:val="62"/>
        </w:rPr>
        <w:t xml:space="preserve">Omar Mokhtar</w:t>
      </w:r>
    </w:p>
    <w:p>
      <w:pPr>
        <w:spacing w:after="5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3461"/>
          <w:sz w:val="21"/>
          <w:szCs w:val="21"/>
        </w:rPr>
        <w:t xml:space="preserve">UX &amp; DesignOps Lead  ·  Design Systems Architect  ·  Frontend-Driven Product Design Leader</w:t>
      </w:r>
    </w:p>
    <w:p>
      <w:pPr>
        <w:pBdr>
          <w:bottom w:val="single" w:color="006C35" w:sz="6" w:space="1"/>
        </w:pBdr>
        <w:spacing w:after="5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/>
      </w:r>
    </w:p>
    <w:p>
      <w:pPr>
        <w:tabs>
          <w:tab w:val="left" w:pos="2700"/>
          <w:tab w:val="left" w:pos="5400"/>
          <w:tab w:val="left" w:pos="7900"/>
        </w:tabs>
        <w:spacing w:after="50" w:before="0"/>
      </w:pPr>
      <w:hyperlink w:history="1" r:id="rIdakv57d2qap--acbyz_yyi">
        <w:r>
          <w:rPr>
            <w:rFonts w:ascii="Arial" w:cs="Arial" w:eastAsia="Arial" w:hAnsi="Arial"/>
            <w:b w:val="false"/>
            <w:bCs w:val="false"/>
            <w:i w:val="false"/>
            <w:iCs w:val="false"/>
            <w:color w:val="5A6472"/>
            <w:sz w:val="18"/>
            <w:szCs w:val="18"/>
          </w:rPr>
          <w:t xml:space="preserve">omarmokhtarayed@hotmail.com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18"/>
          <w:szCs w:val="18"/>
        </w:rPr>
        <w:t xml:space="preserve">+966 53-546-8309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hyperlink w:history="1" r:id="rIdhdnc460rgfbavoxgqmown">
        <w:r>
          <w:rPr>
            <w:rFonts w:ascii="Arial" w:cs="Arial" w:eastAsia="Arial" w:hAnsi="Arial"/>
            <w:b w:val="false"/>
            <w:bCs w:val="false"/>
            <w:i w:val="false"/>
            <w:iCs w:val="false"/>
            <w:color w:val="006C35"/>
            <w:sz w:val="18"/>
            <w:szCs w:val="18"/>
          </w:rPr>
          <w:t xml:space="preserve">omarmokhtar.com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hyperlink w:history="1" r:id="rIdkbuam6y8c6cok4fu7hzov">
        <w:r>
          <w:rPr>
            <w:rFonts w:ascii="Arial" w:cs="Arial" w:eastAsia="Arial" w:hAnsi="Arial"/>
            <w:b w:val="false"/>
            <w:bCs w:val="false"/>
            <w:i w:val="false"/>
            <w:iCs w:val="false"/>
            <w:color w:val="5A6472"/>
            <w:sz w:val="18"/>
            <w:szCs w:val="18"/>
          </w:rPr>
          <w:t xml:space="preserve">linkedin.com/in/omarmokhtar22</w:t>
        </w:r>
      </w:hyperlink>
    </w:p>
    <w:p>
      <w:pPr>
        <w:pBdr>
          <w:bottom w:val="single" w:color="DDE2E8" w:sz="2" w:space="1"/>
        </w:pBdr>
        <w:spacing w:after="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/>
      </w:r>
    </w:p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EXECUTIVE SUMMARY</w:t>
      </w:r>
    </w:p>
    <w:p>
      <w:pPr>
        <w:spacing w:after="0" w:before="0"/>
      </w:pPr>
    </w:p>
    <w:p>
      <w:pPr>
        <w:spacing w:after="5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Senior Product Design Leader with 19+ years delivering enterprise digital products for Saudi Arabia's most critical government institutions — including the Ministry of Interior, National Housing Company, and national education platforms. Recognized for architecting Design Systems at scale, establishing DesignOps governance programs, and leading frontend-driven product design workflows that close the gap between design intent and production quality.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A cross-functional delivery leader operating at the intersection of UX strategy, service design, and engineering — translating organizational complexity into coherent, accessible, and scalable digital experiences aligned with Saudi government accessibility standards and enterprise performance requirements.</w:t>
      </w: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96"/>
        <w:gridCol w:w="2496"/>
        <w:gridCol w:w="2496"/>
        <w:gridCol w:w="2498"/>
      </w:tblGrid>
      <w:tr>
        <w:tc>
          <w:tcPr>
            <w:tcW w:type="dxa" w:w="2496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6C35"/>
                <w:sz w:val="36"/>
                <w:szCs w:val="36"/>
              </w:rPr>
              <w:t xml:space="preserve">19+</w:t>
            </w:r>
          </w:p>
          <w:p>
            <w:pPr>
              <w:spacing w:after="0" w:before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6"/>
                <w:szCs w:val="16"/>
              </w:rPr>
              <w:t xml:space="preserve">Years of UX Practice</w:t>
            </w:r>
          </w:p>
        </w:tc>
        <w:tc>
          <w:tcPr>
            <w:tcW w:type="dxa" w:w="2496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6C35"/>
                <w:sz w:val="36"/>
                <w:szCs w:val="36"/>
              </w:rPr>
              <w:t xml:space="preserve">14+</w:t>
            </w:r>
          </w:p>
          <w:p>
            <w:pPr>
              <w:spacing w:after="0" w:before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6"/>
                <w:szCs w:val="16"/>
              </w:rPr>
              <w:t xml:space="preserve">Enterprise Products</w:t>
            </w:r>
          </w:p>
        </w:tc>
        <w:tc>
          <w:tcPr>
            <w:tcW w:type="dxa" w:w="2496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6C35"/>
                <w:sz w:val="36"/>
                <w:szCs w:val="36"/>
              </w:rPr>
              <w:t xml:space="preserve">4</w:t>
            </w:r>
          </w:p>
          <w:p>
            <w:pPr>
              <w:spacing w:after="0" w:before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6"/>
                <w:szCs w:val="16"/>
              </w:rPr>
              <w:t xml:space="preserve">Gov. Entities</w:t>
            </w:r>
          </w:p>
        </w:tc>
        <w:tc>
          <w:tcPr>
            <w:tcW w:type="dxa" w:w="2496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6C35"/>
                <w:sz w:val="36"/>
                <w:szCs w:val="36"/>
              </w:rPr>
              <w:t xml:space="preserve">6</w:t>
            </w:r>
          </w:p>
          <w:p>
            <w:pPr>
              <w:spacing w:after="0" w:before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6"/>
                <w:szCs w:val="16"/>
              </w:rPr>
              <w:t xml:space="preserve">Certifications</w:t>
            </w:r>
          </w:p>
        </w:tc>
      </w:tr>
    </w:tbl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PROFESSIONAL EXPERIENCE</w:t>
      </w:r>
    </w:p>
    <w:p>
      <w:pPr>
        <w:spacing w:after="0" w:before="0"/>
      </w:pPr>
    </w:p>
    <w:p>
      <w:pPr>
        <w:tabs>
          <w:tab w:val="right" w:pos="9986"/>
        </w:tabs>
        <w:spacing w:after="0" w:before="130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21"/>
          <w:szCs w:val="21"/>
        </w:rPr>
        <w:t xml:space="preserve">Saudi Public Security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20"/>
          <w:szCs w:val="20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C3461"/>
          <w:sz w:val="20"/>
          <w:szCs w:val="20"/>
        </w:rPr>
        <w:t xml:space="preserve">UX Design Lead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Jan 2023 – Present</w:t>
      </w:r>
    </w:p>
    <w:p>
      <w:pPr>
        <w:spacing w:after="50" w:before="28"/>
      </w:pP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Directing product design strategy, Design Systems architecture, and DesignOps governance across sovereign government platforms.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Design System Architecture: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Architected the AMN Enterprise Design System — token-based component library (Figma variables, semantic tokens, unified components) adopted as the single source of truth across all Public Security digital platforms.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Frontend Collaboration: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Converted the full design system to production HTML/CSS/SCSS with token variables and design-to-code documentation, delivering measurable parity between design intent and live implementation across three platforms.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DesignOps Program: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Established a DesignOps governance program — standardized QA checklists, handoff protocols, contribution models, and onboarding documentation — enabling consistent cross-team product delivery.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Product Design Leadership: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Led end-to-end product design for AMN Platform, Midan Application, and Midan Web: user research, information architecture, service design, prototyping, and engineering handoff.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Design Governance &amp; Vendor QA: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Governed design quality across all Public Security platforms; audited and onboarded external vendor teams to verify design system compliance before deployment.</w:t>
      </w:r>
    </w:p>
    <w:p>
      <w:pPr>
        <w:tabs>
          <w:tab w:val="right" w:pos="9986"/>
        </w:tabs>
        <w:spacing w:after="0" w:before="130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21"/>
          <w:szCs w:val="21"/>
        </w:rPr>
        <w:t xml:space="preserve">National Housing Company (NHC)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20"/>
          <w:szCs w:val="20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C3461"/>
          <w:sz w:val="20"/>
          <w:szCs w:val="20"/>
        </w:rPr>
        <w:t xml:space="preserve">UI/UX Designer &amp; Frontend Developer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Feb 2019 – Dec 2022</w:t>
      </w:r>
    </w:p>
    <w:p>
      <w:pPr>
        <w:spacing w:after="50" w:before="28"/>
      </w:pP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Bridged product design strategy and engineering for one of Saudi Arabia's largest national digital transformation programs.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Cross-functional Delivery: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Delivered full-cycle product design and frontend development (HTML, CSS, JS, Vue.js) for enterprise housing platforms across web and mobile touchpoints.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Design System &amp; UI Kit: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Built a comprehensive UI Kit adopted as the shared design language across product, engineering, and QA teams — accelerating delivery cycles and reducing design ambiguity.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Interaction &amp; Service Design: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Produced high-fidelity prototypes and interaction documentation that standardized engineering handoffs, reducing rework and supporting faster release cycles.</w:t>
      </w:r>
    </w:p>
    <w:p>
      <w:pPr>
        <w:tabs>
          <w:tab w:val="right" w:pos="9986"/>
        </w:tabs>
        <w:spacing w:after="0" w:before="130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21"/>
          <w:szCs w:val="21"/>
        </w:rPr>
        <w:t xml:space="preserve">Al-Majma'ah University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20"/>
          <w:szCs w:val="20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C3461"/>
          <w:sz w:val="20"/>
          <w:szCs w:val="20"/>
        </w:rPr>
        <w:t xml:space="preserve">UI/UX Designer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Mar 2016 – Feb 2019</w:t>
      </w:r>
    </w:p>
    <w:p>
      <w:pPr>
        <w:spacing w:after="0" w:before="40"/>
      </w:pP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UX &amp; Frontend: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Designed university portal experiences for student, faculty, and administrative journeys — applying user-centered service design to complex institutional workflows; delivered frontend implementation in HTML/CSS/JS.</w:t>
      </w: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Stakeholder Alignment: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Collaborated directly with Deans and IT leadership to align digital products with institutional goals and accessibility standards.</w:t>
      </w:r>
    </w:p>
    <w:p>
      <w:pPr>
        <w:tabs>
          <w:tab w:val="right" w:pos="9986"/>
        </w:tabs>
        <w:spacing w:after="0" w:before="130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21"/>
          <w:szCs w:val="21"/>
        </w:rPr>
        <w:t xml:space="preserve">SURE International Technology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20"/>
          <w:szCs w:val="20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C3461"/>
          <w:sz w:val="20"/>
          <w:szCs w:val="20"/>
        </w:rPr>
        <w:t xml:space="preserve">UI Designer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Nov 2013 – Feb 2016</w:t>
      </w:r>
    </w:p>
    <w:p>
      <w:pPr>
        <w:spacing w:after="0" w:before="40"/>
      </w:pPr>
    </w:p>
    <w:p>
      <w:pPr>
        <w:spacing w:after="44" w:before="44"/>
        <w:ind w:left="220" w:hanging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6C35"/>
          <w:sz w:val="17"/>
          <w:szCs w:val="17"/>
        </w:rPr>
        <w:t xml:space="preserve">▪  </w:t>
      </w:r>
      <w:r>
        <w:rPr>
          <w:rFonts w:ascii="Arial" w:cs="Arial" w:eastAsia="Arial" w:hAnsi="Arial"/>
          <w:b/>
          <w:bCs/>
          <w:i w:val="false"/>
          <w:iCs w:val="false"/>
          <w:color w:val="0D1B2A"/>
          <w:sz w:val="19"/>
          <w:szCs w:val="19"/>
        </w:rPr>
        <w:t xml:space="preserve">Government UX: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Designed modern, accessible interfaces for government e-services across the Food &amp; Drug Authority, National Guard, and Shaqra University — aligning product design with institutional branding and usability standards.</w:t>
      </w:r>
    </w:p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ENTERPRISE DESIGN IMPACT</w:t>
      </w:r>
    </w:p>
    <w:p>
      <w:pPr>
        <w:spacing w:after="0" w:before="0"/>
      </w:pPr>
    </w:p>
    <w:p>
      <w:pPr>
        <w:spacing w:after="0" w:before="6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28"/>
        <w:gridCol w:w="3328"/>
        <w:gridCol w:w="3330"/>
      </w:tblGrid>
      <w:tr>
        <w:tc>
          <w:tcPr>
            <w:tcW w:type="dxa" w:w="3328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9"/>
                <w:szCs w:val="19"/>
              </w:rPr>
              <w:t xml:space="preserve">Design Systems Architecture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Token-based systems (Figma variables, semantic tokens, component libraries) adopted as the source of truth across sovereign platforms.</w:t>
            </w:r>
          </w:p>
        </w:tc>
        <w:tc>
          <w:tcPr>
            <w:tcW w:type="dxa" w:w="3328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9"/>
                <w:szCs w:val="19"/>
              </w:rPr>
              <w:t xml:space="preserve">DesignOps Program Leadership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Defined governance frameworks, QA checklists, handoff protocols, and cross-team onboarding programs at platform scale.</w:t>
            </w:r>
          </w:p>
        </w:tc>
        <w:tc>
          <w:tcPr>
            <w:tcW w:type="dxa" w:w="3328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9"/>
                <w:szCs w:val="19"/>
              </w:rPr>
              <w:t xml:space="preserve">Frontend-Driven Product Design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Converted design systems to production HTML/CSS/SCSS — closing the gap between design intent and engineered output.</w:t>
            </w:r>
          </w:p>
        </w:tc>
      </w:tr>
      <w:tr>
        <w:tc>
          <w:tcPr>
            <w:tcW w:type="dxa" w:w="3328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9"/>
                <w:szCs w:val="19"/>
              </w:rPr>
              <w:t xml:space="preserve">User Experience Strategy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Led UX strategy from discovery through delivery: research, service design, IA, wireframing, prototyping, and handoff.</w:t>
            </w:r>
          </w:p>
        </w:tc>
        <w:tc>
          <w:tcPr>
            <w:tcW w:type="dxa" w:w="3328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9"/>
                <w:szCs w:val="19"/>
              </w:rPr>
              <w:t xml:space="preserve">Accessibility Compliance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Applied WCAG principles across government platforms, meeting national digital accessibility standards and enterprise requirements.</w:t>
            </w:r>
          </w:p>
        </w:tc>
        <w:tc>
          <w:tcPr>
            <w:tcW w:type="dxa" w:w="3328"/>
            <w:tcBorders>
              <w:top w:val="single" w:color="DDE2E8" w:sz="2"/>
              <w:left w:val="single" w:color="DDE2E8" w:sz="2"/>
              <w:bottom w:val="single" w:color="006C35" w:sz="5"/>
              <w:right w:val="single" w:color="DDE2E8" w:sz="2"/>
            </w:tcBorders>
            <w:shd w:fill="F4F6F8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9"/>
                <w:szCs w:val="19"/>
              </w:rPr>
              <w:t xml:space="preserve">Cross-functional Delivery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Aligned design, engineering, product, and QA teams around shared standards through documentation, reviews, and governance.</w:t>
            </w:r>
          </w:p>
        </w:tc>
      </w:tr>
    </w:tbl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EXECUTIVE EXPERTISE</w:t>
      </w:r>
    </w:p>
    <w:p>
      <w:pPr>
        <w:spacing w:after="0" w:before="0"/>
      </w:pPr>
    </w:p>
    <w:p>
      <w:pPr>
        <w:spacing w:after="0" w:before="6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93"/>
        <w:gridCol w:w="4993"/>
      </w:tblGrid>
      <w:tr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Product Design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End-to-end product delivery · Cross-functional collaboration · Service design · Journey mapping</w:t>
            </w:r>
          </w:p>
        </w:tc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Design Systems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Token architecture · Figma variables · Component libraries · Versioning · Contribution models</w:t>
            </w:r>
          </w:p>
        </w:tc>
      </w:tr>
      <w:tr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UX Strategy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User research · Information architecture · Wireframing · Prototyping · Usability testing</w:t>
            </w:r>
          </w:p>
        </w:tc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DesignOps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Governance frameworks · Handoff protocols · QA programs · Toolchain management · Team onboarding</w:t>
            </w:r>
          </w:p>
        </w:tc>
      </w:tr>
      <w:tr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Frontend Collaboration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HTML5 · CSS3 · SCSS · Bootstrap · Vue.js · Design-to-code implementation</w:t>
            </w:r>
          </w:p>
        </w:tc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Accessibility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WCAG 2.1 AA · Accessible patterns · Contrast compliance · Screen-reader readiness</w:t>
            </w:r>
          </w:p>
        </w:tc>
      </w:tr>
      <w:tr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Leadership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Cross-functional teams · Vendor management · Agile/Scrum · Executive communication</w:t>
            </w:r>
          </w:p>
        </w:tc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Tools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Figma · Adobe XD · Notion · Jira · GitHub</w:t>
            </w:r>
          </w:p>
        </w:tc>
      </w:tr>
    </w:tbl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FEATURED PROJECTS</w:t>
      </w:r>
    </w:p>
    <w:p>
      <w:pPr>
        <w:spacing w:after="0" w:before="0"/>
      </w:pPr>
    </w:p>
    <w:p>
      <w:pPr>
        <w:spacing w:after="0" w:before="8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86"/>
      </w:tblGrid>
      <w:tr>
        <w:tc>
          <w:tcPr>
            <w:tcW w:type="dxa" w:w="9986"/>
            <w:tcBorders>
              <w:top w:val="single" w:color="DDE2E8" w:sz="2"/>
              <w:left w:val="single" w:color="006C35" w:sz="8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21"/>
                <w:szCs w:val="21"/>
              </w:rPr>
              <w:t xml:space="preserve">AMN Platform — Saudi Public Security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8"/>
                <w:szCs w:val="18"/>
              </w:rPr>
              <w:t xml:space="preserve">   —   Product Design Lead &amp; Design Systems Architect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Impact: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Established the enterprise design system governing all Public Security platforms — enabling scalable, consistent, and accessible product delivery.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Architected token-based design system: colors, typography, spacing, states, and interactive components in Figma with variables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Delivered full HTML/CSS/SCSS design system conversion with developer documentation — achieving 100% design-to-code accuracy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Defined governance model: contribution process, review cadence, versioning standards, and cross-team adoption guidelines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Led product design from discovery through handoff: research, service design, IA, wireframing, and prototyping</w:t>
            </w:r>
          </w:p>
        </w:tc>
      </w:tr>
    </w:tbl>
    <w:p>
      <w:pPr>
        <w:spacing w:after="0" w:before="8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86"/>
      </w:tblGrid>
      <w:tr>
        <w:tc>
          <w:tcPr>
            <w:tcW w:type="dxa" w:w="9986"/>
            <w:tcBorders>
              <w:top w:val="single" w:color="DDE2E8" w:sz="2"/>
              <w:left w:val="single" w:color="006C35" w:sz="8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21"/>
                <w:szCs w:val="21"/>
              </w:rPr>
              <w:t xml:space="preserve">Midan Application &amp; Midan Web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8"/>
                <w:szCs w:val="18"/>
              </w:rPr>
              <w:t xml:space="preserve">   —   UX Lead &amp; Design System Owner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Impact: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Dual-track design system delivery for native mobile and web — unified component architecture tailored per channel.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Built Midan App design system: mobile-optimized components, variables, interaction patterns, and symbol libraries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Delivered Midan Web design system with full HTML/CSS/SCSS token implementation and developer handoff documentation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Maintained cross-platform consistency while respecting each channel's design language and engineering constraints</w:t>
            </w:r>
          </w:p>
        </w:tc>
      </w:tr>
    </w:tbl>
    <w:p>
      <w:pPr>
        <w:spacing w:after="0" w:before="8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86"/>
      </w:tblGrid>
      <w:tr>
        <w:tc>
          <w:tcPr>
            <w:tcW w:type="dxa" w:w="9986"/>
            <w:tcBorders>
              <w:top w:val="single" w:color="DDE2E8" w:sz="2"/>
              <w:left w:val="single" w:color="006C35" w:sz="8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6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21"/>
                <w:szCs w:val="21"/>
              </w:rPr>
              <w:t xml:space="preserve">Human Rights Commission (HRC)  ·  Majmaah University Portal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8"/>
                <w:szCs w:val="18"/>
              </w:rPr>
              <w:t xml:space="preserve">   —   UX Designer</w:t>
            </w:r>
          </w:p>
          <w:p>
            <w:pPr>
              <w:spacing w:after="4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z w:val="18"/>
                <w:szCs w:val="18"/>
              </w:rPr>
              <w:t xml:space="preserve">Impact: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Government service design and accessible UX for public-facing institutional platforms.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Conducted stakeholder research to define information architecture and service flows for institutionally sensitive platforms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Applied WCAG accessibility compliance throughout design — ensuring readability, contrast, and semantic structure</w:t>
            </w:r>
          </w:p>
          <w:p>
            <w:pPr>
              <w:spacing w:after="26" w:before="26"/>
              <w:ind w:left="1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6C35"/>
                <w:sz w:val="17"/>
                <w:szCs w:val="17"/>
              </w:rPr>
              <w:t xml:space="preserve">›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Led frontend implementation for the university portal: HTML/CSS/JS development in collaboration with IT leadership</w:t>
            </w:r>
          </w:p>
        </w:tc>
      </w:tr>
    </w:tbl>
    <w:p>
      <w:pPr>
        <w:spacing w:after="0" w:before="100"/>
      </w:pPr>
    </w:p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EDUCATION</w:t>
      </w:r>
    </w:p>
    <w:p>
      <w:pPr>
        <w:spacing w:after="0" w:before="0"/>
      </w:pPr>
    </w:p>
    <w:p>
      <w:pPr>
        <w:tabs>
          <w:tab w:val="right" w:pos="9986"/>
        </w:tabs>
        <w:spacing w:after="20" w:before="70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20"/>
          <w:szCs w:val="20"/>
        </w:rPr>
        <w:t xml:space="preserve">Alazhar University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5A6472"/>
          <w:sz w:val="18"/>
          <w:szCs w:val="18"/>
        </w:rPr>
        <w:t xml:space="preserve">2009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18"/>
          <w:szCs w:val="18"/>
        </w:rPr>
        <w:t xml:space="preserve">Bachelor of Physical Education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i/>
          <w:iCs/>
          <w:color w:val="5A6472"/>
          <w:sz w:val="17"/>
          <w:szCs w:val="17"/>
        </w:rPr>
        <w:t xml:space="preserve">19+ years of professional practice and 6 industry certifications across UX, design systems, and agile product management.</w:t>
      </w:r>
    </w:p>
    <w:p>
      <w:pPr>
        <w:pBdr>
          <w:bottom w:val="single" w:color="006C35" w:sz="6" w:space="3"/>
        </w:pBdr>
        <w:spacing w:after="0" w:before="180"/>
      </w:pPr>
      <w:r>
        <w:rPr>
          <w:rFonts w:ascii="Arial" w:cs="Arial" w:eastAsia="Arial" w:hAnsi="Arial"/>
          <w:b/>
          <w:bCs/>
          <w:i w:val="false"/>
          <w:iCs w:val="false"/>
          <w:color w:val="1C3461"/>
          <w:spacing w:val="70"/>
          <w:sz w:val="20"/>
          <w:szCs w:val="20"/>
        </w:rPr>
        <w:t xml:space="preserve">CERTIFICATIONS</w:t>
      </w:r>
    </w:p>
    <w:p>
      <w:pPr>
        <w:spacing w:after="0" w:before="0"/>
      </w:pPr>
    </w:p>
    <w:p>
      <w:pPr>
        <w:spacing w:after="0" w:before="6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93"/>
        <w:gridCol w:w="4993"/>
      </w:tblGrid>
      <w:tr>
        <w:tc>
          <w:tcPr>
            <w:tcW w:type="dxa" w:w="4993"/>
            <w:tcBorders>
              <w:top w:val="single" w:color="DDE2E8" w:sz="2"/>
              <w:left w:val="single" w:color="006C35" w:sz="5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Google UX Design Professional Certificate</w:t>
            </w:r>
          </w:p>
          <w:p>
            <w:pPr>
              <w:spacing w:after="0" w:before="1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Coursera / Google  ·  Aug 2022</w:t>
            </w:r>
          </w:p>
        </w:tc>
        <w:tc>
          <w:tcPr>
            <w:tcW w:type="dxa" w:w="4993"/>
            <w:tcBorders>
              <w:top w:val="single" w:color="DDE2E8" w:sz="2"/>
              <w:left w:val="single" w:color="006C35" w:sz="5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Design System Bootcamp</w:t>
            </w:r>
          </w:p>
          <w:p>
            <w:pPr>
              <w:spacing w:after="0" w:before="1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Certified  ·  Aug 2025</w:t>
            </w:r>
          </w:p>
        </w:tc>
      </w:tr>
      <w:tr>
        <w:tc>
          <w:tcPr>
            <w:tcW w:type="dxa" w:w="4993"/>
            <w:tcBorders>
              <w:top w:val="single" w:color="DDE2E8" w:sz="2"/>
              <w:left w:val="single" w:color="006C35" w:sz="5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PMI-ACP (Agile Certified Practitioner)</w:t>
            </w:r>
          </w:p>
          <w:p>
            <w:pPr>
              <w:spacing w:after="0" w:before="1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PMI  ·  Aug 2022</w:t>
            </w:r>
          </w:p>
        </w:tc>
        <w:tc>
          <w:tcPr>
            <w:tcW w:type="dxa" w:w="4993"/>
            <w:tcBorders>
              <w:top w:val="single" w:color="DDE2E8" w:sz="2"/>
              <w:left w:val="single" w:color="006C35" w:sz="5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Creating a Design System with Adobe XD</w:t>
            </w:r>
          </w:p>
          <w:p>
            <w:pPr>
              <w:spacing w:after="0" w:before="1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LinkedIn Learning  ·  Jan 2021</w:t>
            </w:r>
          </w:p>
        </w:tc>
      </w:tr>
      <w:tr>
        <w:tc>
          <w:tcPr>
            <w:tcW w:type="dxa" w:w="4993"/>
            <w:tcBorders>
              <w:top w:val="single" w:color="DDE2E8" w:sz="2"/>
              <w:left w:val="single" w:color="006C35" w:sz="5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Customer Experience: Journey Mapping</w:t>
            </w:r>
          </w:p>
          <w:p>
            <w:pPr>
              <w:spacing w:after="0" w:before="1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LinkedIn Learning  ·  Aug 2020</w:t>
            </w:r>
          </w:p>
        </w:tc>
        <w:tc>
          <w:tcPr>
            <w:tcW w:type="dxa" w:w="4993"/>
            <w:tcBorders>
              <w:top w:val="single" w:color="DDE2E8" w:sz="2"/>
              <w:left w:val="single" w:color="006C35" w:sz="5"/>
              <w:bottom w:val="single" w:color="DDE2E8" w:sz="2"/>
              <w:right w:val="single" w:color="DDE2E8" w:sz="2"/>
            </w:tcBorders>
            <w:shd w:fill="F4F6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UX Foundations: Interaction Design</w:t>
            </w:r>
          </w:p>
          <w:p>
            <w:pPr>
              <w:spacing w:after="0" w:before="1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7"/>
                <w:szCs w:val="17"/>
              </w:rPr>
              <w:t xml:space="preserve">LinkedIn Learning  ·  May 2020</w:t>
            </w:r>
          </w:p>
        </w:tc>
      </w:tr>
    </w:tbl>
    <w:p>
      <w:pPr>
        <w:spacing w:after="0" w:before="100"/>
      </w:pPr>
    </w:p>
    <w:tbl>
      <w:tblPr>
        <w:tblW w:type="dxa" w:w="99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93"/>
        <w:gridCol w:w="4993"/>
      </w:tblGrid>
      <w:tr>
        <w:tc>
          <w:tcPr>
            <w:tcW w:type="dxa" w:w="49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</w:tcPr>
          <w:p>
            <w:pPr>
              <w:pBdr>
                <w:bottom w:val="single" w:color="006C35" w:sz="6" w:space="3"/>
              </w:pBdr>
              <w:spacing w:after="5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pacing w:val="70"/>
                <w:sz w:val="20"/>
                <w:szCs w:val="20"/>
              </w:rPr>
              <w:t xml:space="preserve">LANGUAGES</w:t>
            </w:r>
          </w:p>
          <w:p>
            <w:pPr>
              <w:spacing w:after="0" w:before="7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Arabic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8"/>
                <w:szCs w:val="18"/>
              </w:rPr>
              <w:t xml:space="preserve">Native</w:t>
            </w:r>
          </w:p>
          <w:p>
            <w:pPr>
              <w:spacing w:after="0" w:before="5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English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A6472"/>
                <w:sz w:val="18"/>
                <w:szCs w:val="18"/>
              </w:rPr>
              <w:t xml:space="preserve">Professional Working Proficiency</w:t>
            </w:r>
          </w:p>
        </w:tc>
        <w:tc>
          <w:tcPr>
            <w:tcW w:type="dxa" w:w="4993"/>
            <w:tcBorders>
              <w:top w:val="none" w:color="FFFFFF" w:sz="0"/>
              <w:left w:val="single" w:color="DDE2E8" w:sz="2"/>
              <w:bottom w:val="none" w:color="FFFFFF" w:sz="0"/>
              <w:right w:val="none" w:color="FFFFFF" w:sz="0"/>
            </w:tcBorders>
            <w:tcMar>
              <w:top w:type="dxa" w:w="0"/>
              <w:left w:type="dxa" w:w="220"/>
              <w:bottom w:type="dxa" w:w="0"/>
              <w:right w:type="dxa" w:w="0"/>
            </w:tcMar>
          </w:tcPr>
          <w:p>
            <w:pPr>
              <w:pBdr>
                <w:bottom w:val="single" w:color="006C35" w:sz="6" w:space="3"/>
              </w:pBdr>
              <w:spacing w:after="5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461"/>
                <w:spacing w:val="70"/>
                <w:sz w:val="20"/>
                <w:szCs w:val="20"/>
              </w:rPr>
              <w:t xml:space="preserve">ONLINE PRESENCE</w:t>
            </w:r>
          </w:p>
          <w:p>
            <w:pPr>
              <w:spacing w:after="0" w:before="5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Portfolio:  </w:t>
            </w:r>
            <w:hyperlink w:history="1" r:id="rIdw6z6areje-ks7rfju4sdu">
              <w:r>
                <w:rPr>
                  <w:rFonts w:ascii="Arial" w:cs="Arial" w:eastAsia="Arial" w:hAnsi="Arial"/>
                  <w:b w:val="false"/>
                  <w:bCs w:val="false"/>
                  <w:i w:val="false"/>
                  <w:iCs w:val="false"/>
                  <w:color w:val="006C35"/>
                  <w:sz w:val="18"/>
                  <w:szCs w:val="18"/>
                </w:rPr>
                <w:t xml:space="preserve">omarmokhtar.com</w:t>
              </w:r>
            </w:hyperlink>
          </w:p>
          <w:p>
            <w:pPr>
              <w:spacing w:after="0" w:before="5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LinkedIn:  </w:t>
            </w:r>
            <w:hyperlink w:history="1" r:id="rIdetq2mtiwoco-yeuulatsx">
              <w:r>
                <w:rPr>
                  <w:rFonts w:ascii="Arial" w:cs="Arial" w:eastAsia="Arial" w:hAnsi="Arial"/>
                  <w:b w:val="false"/>
                  <w:bCs w:val="false"/>
                  <w:i w:val="false"/>
                  <w:iCs w:val="false"/>
                  <w:color w:val="006C35"/>
                  <w:sz w:val="18"/>
                  <w:szCs w:val="18"/>
                </w:rPr>
                <w:t xml:space="preserve">linkedin.com/in/omarmokhtar22</w:t>
              </w:r>
            </w:hyperlink>
          </w:p>
          <w:p>
            <w:pPr>
              <w:spacing w:after="0" w:before="5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Behance:  </w:t>
            </w:r>
            <w:hyperlink w:history="1" r:id="rId_jmb-rjzcd8npjdpyglue">
              <w:r>
                <w:rPr>
                  <w:rFonts w:ascii="Arial" w:cs="Arial" w:eastAsia="Arial" w:hAnsi="Arial"/>
                  <w:b w:val="false"/>
                  <w:bCs w:val="false"/>
                  <w:i w:val="false"/>
                  <w:iCs w:val="false"/>
                  <w:color w:val="006C35"/>
                  <w:sz w:val="18"/>
                  <w:szCs w:val="18"/>
                </w:rPr>
                <w:t xml:space="preserve">behance.net/Omar_Mokhtar</w:t>
              </w:r>
            </w:hyperlink>
          </w:p>
          <w:p>
            <w:pPr>
              <w:spacing w:after="0" w:before="5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GitHub:  </w:t>
            </w:r>
            <w:hyperlink w:history="1" r:id="rIdk6ubcr8g-6xiilfddy0ry">
              <w:r>
                <w:rPr>
                  <w:rFonts w:ascii="Arial" w:cs="Arial" w:eastAsia="Arial" w:hAnsi="Arial"/>
                  <w:b w:val="false"/>
                  <w:bCs w:val="false"/>
                  <w:i w:val="false"/>
                  <w:iCs w:val="false"/>
                  <w:color w:val="006C35"/>
                  <w:sz w:val="18"/>
                  <w:szCs w:val="18"/>
                </w:rPr>
                <w:t xml:space="preserve">github.com/omarmok</w:t>
              </w:r>
            </w:hyperlink>
          </w:p>
        </w:tc>
      </w:tr>
    </w:tbl>
    <w:p>
      <w:pPr>
        <w:pBdr>
          <w:bottom w:val="single" w:color="DDE2E8" w:sz="2" w:space="1"/>
        </w:pBdr>
        <w:spacing w:after="50" w:before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D1B2A"/>
          <w:sz w:val="19"/>
          <w:szCs w:val="19"/>
        </w:rPr>
        <w:t xml:space="preserve"/>
      </w:r>
    </w:p>
    <w:p>
      <w:pPr>
        <w:jc w:val="center"/>
      </w:pPr>
      <w:hyperlink w:history="1" r:id="rIdq2zaqjvfn4ndgcr4e2nbq">
        <w:r>
          <w:rPr>
            <w:rFonts w:ascii="Arial" w:cs="Arial" w:eastAsia="Arial" w:hAnsi="Arial"/>
            <w:b w:val="false"/>
            <w:bCs w:val="false"/>
            <w:i w:val="false"/>
            <w:iCs w:val="false"/>
            <w:color w:val="5A6472"/>
            <w:sz w:val="16"/>
            <w:szCs w:val="16"/>
          </w:rPr>
          <w:t xml:space="preserve">omarmokhtar.com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16"/>
          <w:szCs w:val="16"/>
        </w:rPr>
        <w:t xml:space="preserve">  ·  </w:t>
      </w:r>
      <w:hyperlink w:history="1" r:id="rIdnzrxwzvaoz8a8ypce4y9_">
        <w:r>
          <w:rPr>
            <w:rFonts w:ascii="Arial" w:cs="Arial" w:eastAsia="Arial" w:hAnsi="Arial"/>
            <w:b w:val="false"/>
            <w:bCs w:val="false"/>
            <w:i w:val="false"/>
            <w:iCs w:val="false"/>
            <w:color w:val="5A6472"/>
            <w:sz w:val="16"/>
            <w:szCs w:val="16"/>
          </w:rPr>
          <w:t xml:space="preserve">behance.net/Omar_Mokhtar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16"/>
          <w:szCs w:val="16"/>
        </w:rPr>
        <w:t xml:space="preserve">  ·  </w:t>
      </w:r>
      <w:hyperlink w:history="1" r:id="rIdwe78ectvybaxiyz3pnvsy">
        <w:r>
          <w:rPr>
            <w:rFonts w:ascii="Arial" w:cs="Arial" w:eastAsia="Arial" w:hAnsi="Arial"/>
            <w:b w:val="false"/>
            <w:bCs w:val="false"/>
            <w:i w:val="false"/>
            <w:iCs w:val="false"/>
            <w:color w:val="5A6472"/>
            <w:sz w:val="16"/>
            <w:szCs w:val="16"/>
          </w:rPr>
          <w:t xml:space="preserve">github.com/omarmok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5A6472"/>
          <w:sz w:val="16"/>
          <w:szCs w:val="16"/>
        </w:rPr>
        <w:t xml:space="preserve">  ·  Riyadh, Saudi Arabia</w:t>
      </w:r>
    </w:p>
    <w:sectPr>
      <w:pgSz w:w="11906" w:h="16838" w:orient="portrait"/>
      <w:pgMar w:top="800" w:right="960" w:bottom="700" w:left="9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D1B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kv57d2qap--acbyz_yyi" Type="http://schemas.openxmlformats.org/officeDocument/2006/relationships/hyperlink" Target="mailto:omarmokhtarayed@hotmail.com" TargetMode="External"/><Relationship Id="rIdhdnc460rgfbavoxgqmown" Type="http://schemas.openxmlformats.org/officeDocument/2006/relationships/hyperlink" Target="https://omarmokhtar.com" TargetMode="External"/><Relationship Id="rIdkbuam6y8c6cok4fu7hzov" Type="http://schemas.openxmlformats.org/officeDocument/2006/relationships/hyperlink" Target="https://linkedin.com/in/omarmokhtar22" TargetMode="External"/><Relationship Id="rIdw6z6areje-ks7rfju4sdu" Type="http://schemas.openxmlformats.org/officeDocument/2006/relationships/hyperlink" Target="https://omarmokhtar.com" TargetMode="External"/><Relationship Id="rIdetq2mtiwoco-yeuulatsx" Type="http://schemas.openxmlformats.org/officeDocument/2006/relationships/hyperlink" Target="https://linkedin.com/in/omarmokhtar22" TargetMode="External"/><Relationship Id="rId_jmb-rjzcd8npjdpyglue" Type="http://schemas.openxmlformats.org/officeDocument/2006/relationships/hyperlink" Target="https://behance.net/Omar_Mokhtar" TargetMode="External"/><Relationship Id="rIdk6ubcr8g-6xiilfddy0ry" Type="http://schemas.openxmlformats.org/officeDocument/2006/relationships/hyperlink" Target="https://github.com/omarmok" TargetMode="External"/><Relationship Id="rIdq2zaqjvfn4ndgcr4e2nbq" Type="http://schemas.openxmlformats.org/officeDocument/2006/relationships/hyperlink" Target="https://omarmokhtar.com" TargetMode="External"/><Relationship Id="rIdnzrxwzvaoz8a8ypce4y9_" Type="http://schemas.openxmlformats.org/officeDocument/2006/relationships/hyperlink" Target="https://behance.net/Omar_Mokhtar" TargetMode="External"/><Relationship Id="rIdwe78ectvybaxiyz3pnvsy" Type="http://schemas.openxmlformats.org/officeDocument/2006/relationships/hyperlink" Target="https://github.com/omarmok" TargetMode="External"/><Relationship Id="rId1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2026-05-31T16:03:41.395Z</dcterms:created>
  <dcterms:modified xsi:type="dcterms:W3CDTF">2026-05-31T16:03:41.395Z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